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AB4C" w14:textId="77777777" w:rsidR="009D4D61" w:rsidRPr="00860C2F" w:rsidRDefault="009D4D61" w:rsidP="0051000C">
      <w:pPr>
        <w:pStyle w:val="Style1"/>
        <w:rPr>
          <w:rFonts w:ascii="Arial" w:hAnsi="Arial" w:cs="Arial"/>
          <w:szCs w:val="22"/>
        </w:rPr>
      </w:pPr>
    </w:p>
    <w:p w14:paraId="4120DAEA" w14:textId="77777777" w:rsidR="0089291C" w:rsidRPr="00860C2F" w:rsidRDefault="00860C2F">
      <w:pPr>
        <w:pStyle w:val="RAEnteteSociete"/>
        <w:rPr>
          <w:rFonts w:ascii="Arial" w:hAnsi="Arial" w:cs="Arial"/>
          <w:sz w:val="22"/>
          <w:szCs w:val="22"/>
        </w:rPr>
      </w:pPr>
      <w:r w:rsidRPr="00860C2F">
        <w:rPr>
          <w:rFonts w:ascii="Arial" w:hAnsi="Arial" w:cs="Arial"/>
          <w:sz w:val="22"/>
          <w:szCs w:val="22"/>
        </w:rPr>
        <w:t>GALEO CONCEPT  </w:t>
      </w:r>
    </w:p>
    <w:p w14:paraId="247B0C24" w14:textId="77777777" w:rsidR="0089291C" w:rsidRPr="00860C2F" w:rsidRDefault="00860C2F">
      <w:pPr>
        <w:pStyle w:val="RAEnteteSociete"/>
        <w:rPr>
          <w:rFonts w:ascii="Arial" w:hAnsi="Arial" w:cs="Arial"/>
          <w:sz w:val="22"/>
          <w:szCs w:val="22"/>
        </w:rPr>
      </w:pPr>
      <w:r w:rsidRPr="00860C2F">
        <w:rPr>
          <w:rFonts w:ascii="Arial" w:hAnsi="Arial" w:cs="Arial"/>
          <w:sz w:val="22"/>
          <w:szCs w:val="22"/>
        </w:rPr>
        <w:t> Société anonyme à conseil d’administration  </w:t>
      </w:r>
    </w:p>
    <w:p w14:paraId="1F8D7F59" w14:textId="77777777" w:rsidR="0089291C" w:rsidRPr="00860C2F" w:rsidRDefault="00860C2F">
      <w:pPr>
        <w:pStyle w:val="RAEnteteSociete"/>
        <w:rPr>
          <w:rFonts w:ascii="Arial" w:hAnsi="Arial" w:cs="Arial"/>
          <w:sz w:val="22"/>
          <w:szCs w:val="22"/>
        </w:rPr>
      </w:pPr>
      <w:proofErr w:type="gramStart"/>
      <w:r w:rsidRPr="00860C2F">
        <w:rPr>
          <w:rFonts w:ascii="Arial" w:hAnsi="Arial" w:cs="Arial"/>
          <w:sz w:val="22"/>
          <w:szCs w:val="22"/>
        </w:rPr>
        <w:t>au</w:t>
      </w:r>
      <w:proofErr w:type="gramEnd"/>
      <w:r w:rsidRPr="00860C2F">
        <w:rPr>
          <w:rFonts w:ascii="Arial" w:hAnsi="Arial" w:cs="Arial"/>
          <w:sz w:val="22"/>
          <w:szCs w:val="22"/>
        </w:rPr>
        <w:t xml:space="preserve"> capital de 308 861 euros</w:t>
      </w:r>
    </w:p>
    <w:p w14:paraId="125B2AA3" w14:textId="77777777" w:rsidR="0089291C" w:rsidRPr="00860C2F" w:rsidRDefault="00860C2F">
      <w:pPr>
        <w:pStyle w:val="RAEnteteSociete"/>
        <w:rPr>
          <w:rFonts w:ascii="Arial" w:hAnsi="Arial" w:cs="Arial"/>
          <w:sz w:val="22"/>
          <w:szCs w:val="22"/>
        </w:rPr>
      </w:pPr>
      <w:r w:rsidRPr="00860C2F">
        <w:rPr>
          <w:rFonts w:ascii="Arial" w:hAnsi="Arial" w:cs="Arial"/>
          <w:sz w:val="22"/>
          <w:szCs w:val="22"/>
        </w:rPr>
        <w:t>Siège social : 14 F route de Grillon - La Cité du Végétal  </w:t>
      </w:r>
    </w:p>
    <w:p w14:paraId="4E7F769F" w14:textId="77777777" w:rsidR="0089291C" w:rsidRPr="00860C2F" w:rsidRDefault="00860C2F">
      <w:pPr>
        <w:pStyle w:val="RAEnteteSociete"/>
        <w:rPr>
          <w:rFonts w:ascii="Arial" w:hAnsi="Arial" w:cs="Arial"/>
          <w:sz w:val="22"/>
          <w:szCs w:val="22"/>
        </w:rPr>
      </w:pPr>
      <w:r w:rsidRPr="00860C2F">
        <w:rPr>
          <w:rFonts w:ascii="Arial" w:hAnsi="Arial" w:cs="Arial"/>
          <w:sz w:val="22"/>
          <w:szCs w:val="22"/>
        </w:rPr>
        <w:t> 84600 VALREAS  </w:t>
      </w:r>
    </w:p>
    <w:p w14:paraId="0AF68F93" w14:textId="77777777" w:rsidR="0089291C" w:rsidRPr="00860C2F" w:rsidRDefault="00860C2F">
      <w:pPr>
        <w:pStyle w:val="RAEnteteSociete"/>
        <w:rPr>
          <w:rFonts w:ascii="Arial" w:hAnsi="Arial" w:cs="Arial"/>
          <w:sz w:val="22"/>
          <w:szCs w:val="22"/>
        </w:rPr>
      </w:pPr>
      <w:r w:rsidRPr="00860C2F">
        <w:rPr>
          <w:rFonts w:ascii="Arial" w:hAnsi="Arial" w:cs="Arial"/>
          <w:sz w:val="22"/>
          <w:szCs w:val="22"/>
        </w:rPr>
        <w:t> 435 296 389 RCS AVIGNON  </w:t>
      </w:r>
    </w:p>
    <w:p w14:paraId="2FEEBDC4" w14:textId="77777777" w:rsidR="0089291C" w:rsidRPr="00860C2F" w:rsidRDefault="00860C2F">
      <w:pPr>
        <w:pStyle w:val="RAEnteteSociete"/>
        <w:rPr>
          <w:rFonts w:ascii="Arial" w:hAnsi="Arial" w:cs="Arial"/>
          <w:sz w:val="22"/>
          <w:szCs w:val="22"/>
        </w:rPr>
      </w:pPr>
      <w:r w:rsidRPr="00860C2F">
        <w:rPr>
          <w:rFonts w:ascii="Arial" w:hAnsi="Arial" w:cs="Arial"/>
          <w:sz w:val="22"/>
          <w:szCs w:val="22"/>
        </w:rPr>
        <w:t> </w:t>
      </w:r>
    </w:p>
    <w:p w14:paraId="74F2C6FD" w14:textId="77777777" w:rsidR="0089291C" w:rsidRPr="00860C2F" w:rsidRDefault="0089291C">
      <w:pPr>
        <w:rPr>
          <w:rFonts w:ascii="Arial" w:hAnsi="Arial" w:cs="Arial"/>
          <w:szCs w:val="22"/>
        </w:rPr>
      </w:pPr>
    </w:p>
    <w:p w14:paraId="20C8E05B" w14:textId="77777777" w:rsidR="0089291C" w:rsidRPr="00860C2F" w:rsidRDefault="00860C2F">
      <w:pPr>
        <w:pStyle w:val="TitrePolyActegrascentr"/>
        <w:rPr>
          <w:rFonts w:ascii="Arial" w:hAnsi="Arial" w:cs="Arial"/>
          <w:sz w:val="22"/>
          <w:szCs w:val="22"/>
        </w:rPr>
      </w:pPr>
      <w:r w:rsidRPr="00860C2F">
        <w:rPr>
          <w:rFonts w:ascii="Arial" w:hAnsi="Arial" w:cs="Arial"/>
          <w:sz w:val="22"/>
          <w:szCs w:val="22"/>
        </w:rPr>
        <w:t>RAPPORT DU CONSEIL D'ADMINISTRATION</w:t>
      </w:r>
    </w:p>
    <w:p w14:paraId="5553D40E" w14:textId="77777777" w:rsidR="0089291C" w:rsidRPr="00860C2F" w:rsidRDefault="00860C2F">
      <w:pPr>
        <w:pStyle w:val="TitrePolyActegrascentr"/>
        <w:rPr>
          <w:rFonts w:ascii="Arial" w:hAnsi="Arial" w:cs="Arial"/>
          <w:sz w:val="22"/>
          <w:szCs w:val="22"/>
        </w:rPr>
      </w:pPr>
      <w:r w:rsidRPr="00860C2F">
        <w:rPr>
          <w:rFonts w:ascii="Arial" w:hAnsi="Arial" w:cs="Arial"/>
          <w:sz w:val="22"/>
          <w:szCs w:val="22"/>
        </w:rPr>
        <w:t>À L'ASSEMBLÉE GÉNÉRALE EXTRAORDINAIRE</w:t>
      </w:r>
    </w:p>
    <w:p w14:paraId="0BFB047E" w14:textId="17C74AB5" w:rsidR="0089291C" w:rsidRPr="00860C2F" w:rsidRDefault="00860C2F">
      <w:pPr>
        <w:pStyle w:val="TitrePolyActegrascentr"/>
        <w:rPr>
          <w:rFonts w:ascii="Arial" w:hAnsi="Arial" w:cs="Arial"/>
          <w:sz w:val="22"/>
          <w:szCs w:val="22"/>
        </w:rPr>
      </w:pPr>
      <w:r w:rsidRPr="00860C2F">
        <w:rPr>
          <w:rFonts w:ascii="Arial" w:hAnsi="Arial" w:cs="Arial"/>
          <w:sz w:val="22"/>
          <w:szCs w:val="22"/>
        </w:rPr>
        <w:t xml:space="preserve">DU </w:t>
      </w:r>
      <w:r>
        <w:rPr>
          <w:rFonts w:ascii="Arial" w:hAnsi="Arial" w:cs="Arial"/>
          <w:sz w:val="22"/>
          <w:szCs w:val="22"/>
        </w:rPr>
        <w:t>26 DECEMBRE 2025</w:t>
      </w:r>
    </w:p>
    <w:p w14:paraId="37E7FC5D" w14:textId="77777777" w:rsidR="0089291C" w:rsidRPr="00860C2F" w:rsidRDefault="0089291C">
      <w:pPr>
        <w:rPr>
          <w:rFonts w:ascii="Arial" w:hAnsi="Arial" w:cs="Arial"/>
          <w:szCs w:val="22"/>
        </w:rPr>
      </w:pPr>
    </w:p>
    <w:p w14:paraId="59C9442A" w14:textId="77777777" w:rsidR="0089291C" w:rsidRPr="00860C2F" w:rsidRDefault="00860C2F">
      <w:pPr>
        <w:rPr>
          <w:rFonts w:ascii="Arial" w:hAnsi="Arial" w:cs="Arial"/>
          <w:szCs w:val="22"/>
        </w:rPr>
      </w:pPr>
      <w:r w:rsidRPr="00860C2F">
        <w:rPr>
          <w:rFonts w:ascii="Arial" w:hAnsi="Arial" w:cs="Arial"/>
          <w:szCs w:val="22"/>
        </w:rPr>
        <w:t> </w:t>
      </w:r>
    </w:p>
    <w:p w14:paraId="1948EAEF" w14:textId="72D1FA40" w:rsidR="0089291C" w:rsidRPr="00860C2F" w:rsidRDefault="00860C2F">
      <w:pPr>
        <w:rPr>
          <w:rFonts w:ascii="Arial" w:hAnsi="Arial" w:cs="Arial"/>
          <w:szCs w:val="22"/>
        </w:rPr>
      </w:pPr>
      <w:r w:rsidRPr="00860C2F">
        <w:rPr>
          <w:rFonts w:ascii="Arial" w:hAnsi="Arial" w:cs="Arial"/>
          <w:szCs w:val="22"/>
        </w:rPr>
        <w:t>Chers associés,</w:t>
      </w:r>
    </w:p>
    <w:p w14:paraId="1D6986FA" w14:textId="77777777" w:rsidR="0089291C" w:rsidRPr="00860C2F" w:rsidRDefault="00860C2F">
      <w:pPr>
        <w:rPr>
          <w:rFonts w:ascii="Arial" w:hAnsi="Arial" w:cs="Arial"/>
          <w:szCs w:val="22"/>
        </w:rPr>
      </w:pPr>
      <w:r w:rsidRPr="00860C2F">
        <w:rPr>
          <w:rFonts w:ascii="Arial" w:hAnsi="Arial" w:cs="Arial"/>
          <w:szCs w:val="22"/>
        </w:rPr>
        <w:t> </w:t>
      </w:r>
    </w:p>
    <w:p w14:paraId="05636A86" w14:textId="21572163" w:rsidR="00860C2F" w:rsidRPr="00860C2F" w:rsidRDefault="00860C2F" w:rsidP="00860C2F">
      <w:pPr>
        <w:rPr>
          <w:rFonts w:ascii="Arial" w:hAnsi="Arial" w:cs="Arial"/>
          <w:szCs w:val="22"/>
        </w:rPr>
      </w:pPr>
      <w:r w:rsidRPr="00860C2F">
        <w:rPr>
          <w:rFonts w:ascii="Arial" w:hAnsi="Arial" w:cs="Arial"/>
          <w:szCs w:val="22"/>
        </w:rPr>
        <w:t>Nous vous avons réunis en Assemblée Générale Extraordinaire afin de soumettre à votre approbation un projet de fusion avec la société BKL Group, Société à responsabilité limitée au capital de 200 000 euros, dont le siège social est La Cité du Végétal 14 route de Grillon - 84600 VALREAS, immatriculée au Registre du commerce et des sociétés d’AVIGNON sous le numéro 793 903 683.</w:t>
      </w:r>
    </w:p>
    <w:p w14:paraId="6AC29158" w14:textId="51FA3F71" w:rsidR="0089291C" w:rsidRPr="00860C2F" w:rsidRDefault="0089291C">
      <w:pPr>
        <w:rPr>
          <w:rFonts w:ascii="Arial" w:hAnsi="Arial" w:cs="Arial"/>
          <w:szCs w:val="22"/>
        </w:rPr>
      </w:pPr>
    </w:p>
    <w:p w14:paraId="454ED514" w14:textId="77777777" w:rsidR="0089291C" w:rsidRPr="00860C2F" w:rsidRDefault="00860C2F">
      <w:pPr>
        <w:rPr>
          <w:rFonts w:ascii="Arial" w:hAnsi="Arial" w:cs="Arial"/>
          <w:szCs w:val="22"/>
        </w:rPr>
      </w:pPr>
      <w:r w:rsidRPr="00860C2F">
        <w:rPr>
          <w:rFonts w:ascii="Arial" w:hAnsi="Arial" w:cs="Arial"/>
          <w:szCs w:val="22"/>
        </w:rPr>
        <w:t>Notre Société absorberait la société BKL Group qui lui apporterait l'intégralité de son actif, contre prise en charge de l'intégralité de son passif et l'attribution de titres nouveaux de la société absorbante.</w:t>
      </w:r>
    </w:p>
    <w:p w14:paraId="7C51409F" w14:textId="77777777" w:rsidR="0089291C" w:rsidRPr="00860C2F" w:rsidRDefault="0089291C">
      <w:pPr>
        <w:rPr>
          <w:rFonts w:ascii="Arial" w:hAnsi="Arial" w:cs="Arial"/>
          <w:szCs w:val="22"/>
          <w:highlight w:val="yellow"/>
        </w:rPr>
      </w:pPr>
    </w:p>
    <w:p w14:paraId="5429043A" w14:textId="77777777" w:rsidR="0089291C" w:rsidRPr="00860C2F" w:rsidRDefault="00860C2F">
      <w:pPr>
        <w:rPr>
          <w:rFonts w:ascii="Arial" w:hAnsi="Arial" w:cs="Arial"/>
          <w:szCs w:val="22"/>
        </w:rPr>
      </w:pPr>
      <w:r w:rsidRPr="00860C2F">
        <w:rPr>
          <w:rFonts w:ascii="Arial" w:hAnsi="Arial" w:cs="Arial"/>
          <w:szCs w:val="22"/>
        </w:rPr>
        <w:t>Les motifs de cette fusion et les objectifs poursuivis, tels qu'exposés dans le projet de fusion dont vous avez pu prendre connaissance, sont les suivants :</w:t>
      </w:r>
    </w:p>
    <w:p w14:paraId="449417A3" w14:textId="77777777" w:rsidR="0089291C" w:rsidRPr="00860C2F" w:rsidRDefault="0089291C">
      <w:pPr>
        <w:rPr>
          <w:rFonts w:ascii="Arial" w:hAnsi="Arial" w:cs="Arial"/>
          <w:szCs w:val="22"/>
          <w:highlight w:val="yellow"/>
        </w:rPr>
      </w:pPr>
    </w:p>
    <w:p w14:paraId="732DCB35" w14:textId="77777777" w:rsidR="00860C2F" w:rsidRPr="00985F11" w:rsidRDefault="00860C2F" w:rsidP="00860C2F">
      <w:pPr>
        <w:rPr>
          <w:rFonts w:ascii="Arial" w:hAnsi="Arial" w:cs="Arial"/>
          <w:szCs w:val="22"/>
        </w:rPr>
      </w:pPr>
      <w:r w:rsidRPr="00985F11">
        <w:rPr>
          <w:rFonts w:ascii="Arial" w:hAnsi="Arial" w:cs="Arial"/>
          <w:szCs w:val="22"/>
        </w:rPr>
        <w:t xml:space="preserve">La fusion par absorption de la société BKL Group par la société GALEO CONCEPT devrait à la fois permettre une restructuration interne s’inscrivant dans une logique de simplification de la structure juridique du groupe, visant notamment à optimiser la gestion administrative et financière, réduire les coûts de fonctionnement et améliorer la lisibilité vis-à-vis des partenaires économiques. </w:t>
      </w:r>
    </w:p>
    <w:p w14:paraId="54D536BC" w14:textId="77777777" w:rsidR="0089291C" w:rsidRPr="00860C2F" w:rsidRDefault="0089291C">
      <w:pPr>
        <w:rPr>
          <w:rFonts w:ascii="Arial" w:hAnsi="Arial" w:cs="Arial"/>
          <w:szCs w:val="22"/>
          <w:highlight w:val="yellow"/>
        </w:rPr>
      </w:pPr>
    </w:p>
    <w:p w14:paraId="12A1A112" w14:textId="56D8CC25" w:rsidR="0089291C" w:rsidRPr="00860C2F" w:rsidRDefault="00860C2F">
      <w:pPr>
        <w:rPr>
          <w:rFonts w:ascii="Arial" w:hAnsi="Arial" w:cs="Arial"/>
          <w:szCs w:val="22"/>
        </w:rPr>
      </w:pPr>
      <w:r w:rsidRPr="00860C2F">
        <w:rPr>
          <w:rFonts w:ascii="Arial" w:hAnsi="Arial" w:cs="Arial"/>
          <w:szCs w:val="22"/>
        </w:rPr>
        <w:t>Les comptes des sociétés BKL Group et GALEO CONCEPT, utilisés pour établir les conditions de l'opération, sont ceux arrêtés au 31 décembre 2024, date de clôture du dernier exercice social de chacune des sociétés intéressées et certifiés par les Commissaires aux Comptes.</w:t>
      </w:r>
    </w:p>
    <w:p w14:paraId="5DACD813" w14:textId="77777777" w:rsidR="0089291C" w:rsidRPr="00860C2F" w:rsidRDefault="0089291C">
      <w:pPr>
        <w:rPr>
          <w:rFonts w:ascii="Arial" w:hAnsi="Arial" w:cs="Arial"/>
          <w:szCs w:val="22"/>
          <w:highlight w:val="yellow"/>
        </w:rPr>
      </w:pPr>
    </w:p>
    <w:p w14:paraId="4AEA3502" w14:textId="3768FAD2" w:rsidR="0089291C" w:rsidRPr="00860C2F" w:rsidRDefault="00860C2F">
      <w:pPr>
        <w:rPr>
          <w:rFonts w:ascii="Arial" w:hAnsi="Arial" w:cs="Arial"/>
          <w:szCs w:val="22"/>
        </w:rPr>
      </w:pPr>
      <w:r w:rsidRPr="00860C2F">
        <w:rPr>
          <w:rFonts w:ascii="Arial" w:hAnsi="Arial" w:cs="Arial"/>
          <w:szCs w:val="22"/>
        </w:rPr>
        <w:t>Les derniers comptes annuels des sociétés BKL Group et GALEO CONCEPT étant clos depuis plus de six mois, les sociétés BKL Group et GALEO CONCEPT ont établi chacune, conformément aux dispositions de l'article R. 236-4, 4° du Code de commerce, un état comptable intermédiaire au 30 juin 2025, selon les mêmes méthodes et suivant la même présentation que les derniers comptes annuels.</w:t>
      </w:r>
    </w:p>
    <w:p w14:paraId="16005AFB" w14:textId="77777777" w:rsidR="0089291C" w:rsidRPr="00860C2F" w:rsidRDefault="0089291C">
      <w:pPr>
        <w:rPr>
          <w:rFonts w:ascii="Arial" w:hAnsi="Arial" w:cs="Arial"/>
          <w:szCs w:val="22"/>
          <w:highlight w:val="yellow"/>
        </w:rPr>
      </w:pPr>
    </w:p>
    <w:p w14:paraId="26AF0D14" w14:textId="3F63E0E4" w:rsidR="0089291C" w:rsidRPr="00860C2F" w:rsidRDefault="00860C2F">
      <w:pPr>
        <w:rPr>
          <w:rFonts w:ascii="Arial" w:hAnsi="Arial" w:cs="Arial"/>
          <w:szCs w:val="22"/>
        </w:rPr>
      </w:pPr>
      <w:r w:rsidRPr="00860C2F">
        <w:rPr>
          <w:rFonts w:ascii="Arial" w:hAnsi="Arial" w:cs="Arial"/>
          <w:szCs w:val="22"/>
        </w:rPr>
        <w:t>Les sociétés participant à la fusion étant sous contrôle commun, les éléments d'actif et de passif apporté par la société absorbée sont évalués, conformément aux dispositions des articles 710-1 et suivants du Plan comptable général, à leur valeur nette comptable au 31 décembre 2024.</w:t>
      </w:r>
    </w:p>
    <w:p w14:paraId="24956D18" w14:textId="77777777" w:rsidR="0089291C" w:rsidRPr="00860C2F" w:rsidRDefault="0089291C">
      <w:pPr>
        <w:rPr>
          <w:rFonts w:ascii="Arial" w:hAnsi="Arial" w:cs="Arial"/>
          <w:szCs w:val="22"/>
        </w:rPr>
      </w:pPr>
    </w:p>
    <w:p w14:paraId="1386E75F" w14:textId="20B41D89" w:rsidR="0089291C" w:rsidRPr="00860C2F" w:rsidRDefault="00860C2F">
      <w:pPr>
        <w:rPr>
          <w:rFonts w:ascii="Arial" w:hAnsi="Arial" w:cs="Arial"/>
          <w:szCs w:val="22"/>
        </w:rPr>
      </w:pPr>
      <w:r w:rsidRPr="00860C2F">
        <w:rPr>
          <w:rFonts w:ascii="Arial" w:hAnsi="Arial" w:cs="Arial"/>
          <w:szCs w:val="22"/>
        </w:rPr>
        <w:t>L'actif transmis par la société BKL Group s'élève à 2 057 095 euros et le passif pris en charge par la société GALEO CONCEPT à 1 954 836 euros, de sorte que l'actif net apporté ressort à 102 259 euros.</w:t>
      </w:r>
    </w:p>
    <w:p w14:paraId="3966DD16" w14:textId="77777777" w:rsidR="0089291C" w:rsidRPr="00860C2F" w:rsidRDefault="0089291C">
      <w:pPr>
        <w:rPr>
          <w:rFonts w:ascii="Arial" w:hAnsi="Arial" w:cs="Arial"/>
          <w:szCs w:val="22"/>
          <w:highlight w:val="yellow"/>
        </w:rPr>
      </w:pPr>
    </w:p>
    <w:p w14:paraId="396C2999" w14:textId="77777777" w:rsidR="00860C2F" w:rsidRPr="0048620A" w:rsidRDefault="00860C2F" w:rsidP="00860C2F">
      <w:pPr>
        <w:rPr>
          <w:rFonts w:ascii="Arial" w:hAnsi="Arial" w:cs="Arial"/>
          <w:szCs w:val="22"/>
        </w:rPr>
      </w:pPr>
      <w:r w:rsidRPr="0048620A">
        <w:rPr>
          <w:rFonts w:ascii="Arial" w:hAnsi="Arial" w:cs="Arial"/>
          <w:szCs w:val="22"/>
        </w:rPr>
        <w:lastRenderedPageBreak/>
        <w:t>La parité de fusion a été déterminée par référence aux valorisations respectives des sociétés BKL Group et GALEO CONCEPT.</w:t>
      </w:r>
    </w:p>
    <w:p w14:paraId="0724F039" w14:textId="77777777" w:rsidR="0089291C" w:rsidRPr="00860C2F" w:rsidRDefault="0089291C">
      <w:pPr>
        <w:rPr>
          <w:rFonts w:ascii="Arial" w:hAnsi="Arial" w:cs="Arial"/>
          <w:szCs w:val="22"/>
          <w:highlight w:val="yellow"/>
        </w:rPr>
      </w:pPr>
    </w:p>
    <w:p w14:paraId="216143A0" w14:textId="77777777" w:rsidR="00860C2F" w:rsidRPr="009B7733" w:rsidRDefault="00860C2F" w:rsidP="00860C2F">
      <w:pPr>
        <w:rPr>
          <w:rFonts w:ascii="Arial" w:hAnsi="Arial" w:cs="Arial"/>
          <w:szCs w:val="22"/>
        </w:rPr>
      </w:pPr>
      <w:r w:rsidRPr="009B7733">
        <w:rPr>
          <w:rFonts w:ascii="Arial" w:hAnsi="Arial" w:cs="Arial"/>
          <w:szCs w:val="22"/>
        </w:rPr>
        <w:t>Il ressort de cette évaluation que :</w:t>
      </w:r>
    </w:p>
    <w:p w14:paraId="2B6C1C81" w14:textId="77777777" w:rsidR="00860C2F" w:rsidRPr="009B7733" w:rsidRDefault="00860C2F" w:rsidP="00860C2F">
      <w:pPr>
        <w:rPr>
          <w:rFonts w:ascii="Arial" w:hAnsi="Arial" w:cs="Arial"/>
          <w:szCs w:val="22"/>
        </w:rPr>
      </w:pPr>
      <w:r w:rsidRPr="009B7733">
        <w:rPr>
          <w:rFonts w:ascii="Arial" w:hAnsi="Arial" w:cs="Arial"/>
          <w:szCs w:val="22"/>
        </w:rPr>
        <w:t>- la valeur d'une part de BKL Group s'élève à 1 euro, </w:t>
      </w:r>
    </w:p>
    <w:p w14:paraId="6D8E505C" w14:textId="77777777" w:rsidR="00860C2F" w:rsidRPr="0048620A" w:rsidRDefault="00860C2F" w:rsidP="00860C2F">
      <w:pPr>
        <w:rPr>
          <w:rFonts w:ascii="Arial" w:hAnsi="Arial" w:cs="Arial"/>
          <w:szCs w:val="22"/>
        </w:rPr>
      </w:pPr>
      <w:r w:rsidRPr="009B7733">
        <w:rPr>
          <w:rFonts w:ascii="Arial" w:hAnsi="Arial" w:cs="Arial"/>
          <w:szCs w:val="22"/>
        </w:rPr>
        <w:t>- la valeur d'une action de GALEO CONCEPT s'élève 0,004245 euros,</w:t>
      </w:r>
    </w:p>
    <w:p w14:paraId="07ADCEEA" w14:textId="77777777" w:rsidR="00860C2F" w:rsidRPr="0048620A" w:rsidRDefault="00860C2F" w:rsidP="00860C2F">
      <w:pPr>
        <w:rPr>
          <w:rFonts w:ascii="Arial" w:hAnsi="Arial" w:cs="Arial"/>
          <w:szCs w:val="22"/>
        </w:rPr>
      </w:pPr>
    </w:p>
    <w:p w14:paraId="31E7934B" w14:textId="77777777" w:rsidR="00860C2F" w:rsidRPr="007A38C1" w:rsidRDefault="00860C2F" w:rsidP="00860C2F">
      <w:pPr>
        <w:rPr>
          <w:rFonts w:ascii="Arial" w:hAnsi="Arial" w:cs="Arial"/>
          <w:szCs w:val="22"/>
        </w:rPr>
      </w:pPr>
      <w:r w:rsidRPr="0048620A">
        <w:rPr>
          <w:rFonts w:ascii="Arial" w:hAnsi="Arial" w:cs="Arial"/>
          <w:szCs w:val="22"/>
        </w:rPr>
        <w:t xml:space="preserve">En conséquence de ces valorisations respectives, le rapport d'échange est fixé à </w:t>
      </w:r>
      <w:r>
        <w:rPr>
          <w:rFonts w:ascii="Arial" w:hAnsi="Arial" w:cs="Arial"/>
          <w:szCs w:val="22"/>
        </w:rPr>
        <w:t>2 000</w:t>
      </w:r>
      <w:r w:rsidRPr="007A38C1">
        <w:rPr>
          <w:rFonts w:ascii="Arial" w:hAnsi="Arial" w:cs="Arial"/>
          <w:szCs w:val="22"/>
        </w:rPr>
        <w:t xml:space="preserve"> parts sociales de BKL Group pour </w:t>
      </w:r>
      <w:r>
        <w:rPr>
          <w:rFonts w:ascii="Arial" w:hAnsi="Arial" w:cs="Arial"/>
          <w:szCs w:val="22"/>
        </w:rPr>
        <w:t>471 698</w:t>
      </w:r>
      <w:r w:rsidRPr="007A38C1">
        <w:rPr>
          <w:rFonts w:ascii="Arial" w:hAnsi="Arial" w:cs="Arial"/>
          <w:szCs w:val="22"/>
        </w:rPr>
        <w:t xml:space="preserve"> actions de la société GALEO CONCEPT.</w:t>
      </w:r>
      <w:r>
        <w:rPr>
          <w:rFonts w:ascii="Arial" w:hAnsi="Arial" w:cs="Arial"/>
          <w:szCs w:val="22"/>
        </w:rPr>
        <w:t xml:space="preserve"> Les associés de la société absorbée recevant des actions nouvelles de la société absorbante, feront leur affaire personnelle des éventuels rompus. </w:t>
      </w:r>
    </w:p>
    <w:p w14:paraId="062B2103" w14:textId="77777777" w:rsidR="0089291C" w:rsidRPr="00860C2F" w:rsidRDefault="0089291C">
      <w:pPr>
        <w:rPr>
          <w:rFonts w:ascii="Arial" w:hAnsi="Arial" w:cs="Arial"/>
          <w:szCs w:val="22"/>
          <w:highlight w:val="yellow"/>
        </w:rPr>
      </w:pPr>
    </w:p>
    <w:p w14:paraId="2F06D786" w14:textId="258C4335" w:rsidR="0089291C" w:rsidRDefault="00860C2F">
      <w:pPr>
        <w:rPr>
          <w:rFonts w:ascii="Arial" w:hAnsi="Arial" w:cs="Arial"/>
          <w:szCs w:val="22"/>
        </w:rPr>
      </w:pPr>
      <w:r w:rsidRPr="00860C2F">
        <w:rPr>
          <w:rFonts w:ascii="Arial" w:hAnsi="Arial" w:cs="Arial"/>
          <w:szCs w:val="22"/>
        </w:rPr>
        <w:t>En rémunération de cet apport net, 471 698 actions nouvelles de 0,50 euros de valeur nominale chacune, entièrement libérées, seraient créées par la société GALEO CONCEPT à titre d'augmentation de son capital social de 235 849 euros.</w:t>
      </w:r>
    </w:p>
    <w:p w14:paraId="0933141E" w14:textId="77777777" w:rsidR="00860C2F" w:rsidRPr="00860C2F" w:rsidRDefault="00860C2F">
      <w:pPr>
        <w:rPr>
          <w:rFonts w:ascii="Arial" w:hAnsi="Arial" w:cs="Arial"/>
          <w:szCs w:val="22"/>
          <w:highlight w:val="yellow"/>
        </w:rPr>
      </w:pPr>
    </w:p>
    <w:p w14:paraId="3486FFC7" w14:textId="4300F38F" w:rsidR="0089291C" w:rsidRPr="00860C2F" w:rsidRDefault="00860C2F">
      <w:pPr>
        <w:rPr>
          <w:rFonts w:ascii="Arial" w:hAnsi="Arial" w:cs="Arial"/>
          <w:szCs w:val="22"/>
        </w:rPr>
      </w:pPr>
      <w:r w:rsidRPr="00860C2F">
        <w:rPr>
          <w:rFonts w:ascii="Arial" w:hAnsi="Arial" w:cs="Arial"/>
          <w:szCs w:val="22"/>
        </w:rPr>
        <w:t>Les actions nouvelles de la société GALEO CONCEPT, de même catégorie que les anciennes, porteront jouissance à compter de la réalisation de la fusion, et seront à cette date complètement assimilées aux autres actions composant le capital social de la société GALEO CONCEPT. Elles seront négociables dans les conditions prévues par la loi.</w:t>
      </w:r>
    </w:p>
    <w:p w14:paraId="3A0F55CD" w14:textId="77777777" w:rsidR="0089291C" w:rsidRPr="00860C2F" w:rsidRDefault="0089291C">
      <w:pPr>
        <w:rPr>
          <w:rFonts w:ascii="Arial" w:hAnsi="Arial" w:cs="Arial"/>
          <w:szCs w:val="22"/>
          <w:highlight w:val="yellow"/>
        </w:rPr>
      </w:pPr>
    </w:p>
    <w:p w14:paraId="795B7183" w14:textId="77777777" w:rsidR="0089291C" w:rsidRPr="00860C2F" w:rsidRDefault="00860C2F">
      <w:pPr>
        <w:rPr>
          <w:rFonts w:ascii="Arial" w:hAnsi="Arial" w:cs="Arial"/>
          <w:szCs w:val="22"/>
        </w:rPr>
      </w:pPr>
      <w:r w:rsidRPr="00860C2F">
        <w:rPr>
          <w:rFonts w:ascii="Arial" w:hAnsi="Arial" w:cs="Arial"/>
          <w:szCs w:val="22"/>
        </w:rPr>
        <w:t xml:space="preserve">D'un point de vue juridique, la fusion sera définitivement réalisée à la date de la dernière assemblée des sociétés participantes ayant approuvé la fusion et la société BKL Group se trouvera </w:t>
      </w:r>
      <w:proofErr w:type="gramStart"/>
      <w:r w:rsidRPr="00860C2F">
        <w:rPr>
          <w:rFonts w:ascii="Arial" w:hAnsi="Arial" w:cs="Arial"/>
          <w:szCs w:val="22"/>
        </w:rPr>
        <w:t>ce jour-là dissoute</w:t>
      </w:r>
      <w:proofErr w:type="gramEnd"/>
      <w:r w:rsidRPr="00860C2F">
        <w:rPr>
          <w:rFonts w:ascii="Arial" w:hAnsi="Arial" w:cs="Arial"/>
          <w:szCs w:val="22"/>
        </w:rPr>
        <w:t xml:space="preserve"> de plein droit, sans qu'il y ait lieu à liquidation.</w:t>
      </w:r>
    </w:p>
    <w:p w14:paraId="441E98D7" w14:textId="77777777" w:rsidR="0089291C" w:rsidRPr="00860C2F" w:rsidRDefault="0089291C">
      <w:pPr>
        <w:rPr>
          <w:rFonts w:ascii="Arial" w:hAnsi="Arial" w:cs="Arial"/>
          <w:szCs w:val="22"/>
          <w:highlight w:val="yellow"/>
        </w:rPr>
      </w:pPr>
    </w:p>
    <w:p w14:paraId="64DA3975" w14:textId="12A7F949" w:rsidR="0089291C" w:rsidRPr="00860C2F" w:rsidRDefault="00860C2F">
      <w:pPr>
        <w:rPr>
          <w:rFonts w:ascii="Arial" w:hAnsi="Arial" w:cs="Arial"/>
          <w:szCs w:val="22"/>
        </w:rPr>
      </w:pPr>
      <w:r w:rsidRPr="00860C2F">
        <w:rPr>
          <w:rFonts w:ascii="Arial" w:hAnsi="Arial" w:cs="Arial"/>
          <w:szCs w:val="22"/>
        </w:rPr>
        <w:t>Fiscalement et comptablement, la fusion prendra effet rétroactivement au 1</w:t>
      </w:r>
      <w:r w:rsidRPr="00860C2F">
        <w:rPr>
          <w:rFonts w:ascii="Arial" w:hAnsi="Arial" w:cs="Arial"/>
          <w:szCs w:val="22"/>
          <w:vertAlign w:val="superscript"/>
        </w:rPr>
        <w:t>er</w:t>
      </w:r>
      <w:r w:rsidRPr="00860C2F">
        <w:rPr>
          <w:rFonts w:ascii="Arial" w:hAnsi="Arial" w:cs="Arial"/>
          <w:szCs w:val="22"/>
        </w:rPr>
        <w:t xml:space="preserve"> janvier 2025, de sorte que les résultats de toutes les opérations réalisées par la société BKL Group depuis le 1</w:t>
      </w:r>
      <w:r w:rsidRPr="00860C2F">
        <w:rPr>
          <w:rFonts w:ascii="Arial" w:hAnsi="Arial" w:cs="Arial"/>
          <w:szCs w:val="22"/>
          <w:vertAlign w:val="superscript"/>
        </w:rPr>
        <w:t>er</w:t>
      </w:r>
      <w:r w:rsidRPr="00860C2F">
        <w:rPr>
          <w:rFonts w:ascii="Arial" w:hAnsi="Arial" w:cs="Arial"/>
          <w:szCs w:val="22"/>
        </w:rPr>
        <w:t xml:space="preserve"> janvier 2025 jusqu'au jour de la réalisation de la fusion seront réputées réalisées, selon le cas, au profit ou à la charge de la société GALEO CONCEPT et considérées comme accomplies par la société GALEO CONCEPT depuis le 1</w:t>
      </w:r>
      <w:r w:rsidRPr="00860C2F">
        <w:rPr>
          <w:rFonts w:ascii="Arial" w:hAnsi="Arial" w:cs="Arial"/>
          <w:szCs w:val="22"/>
          <w:vertAlign w:val="superscript"/>
        </w:rPr>
        <w:t>er</w:t>
      </w:r>
      <w:r w:rsidRPr="00860C2F">
        <w:rPr>
          <w:rFonts w:ascii="Arial" w:hAnsi="Arial" w:cs="Arial"/>
          <w:szCs w:val="22"/>
        </w:rPr>
        <w:t xml:space="preserve"> janvier 2025.</w:t>
      </w:r>
    </w:p>
    <w:p w14:paraId="22DB370A" w14:textId="77777777" w:rsidR="0089291C" w:rsidRPr="00860C2F" w:rsidRDefault="0089291C">
      <w:pPr>
        <w:rPr>
          <w:rFonts w:ascii="Arial" w:hAnsi="Arial" w:cs="Arial"/>
          <w:szCs w:val="22"/>
          <w:highlight w:val="yellow"/>
        </w:rPr>
      </w:pPr>
    </w:p>
    <w:p w14:paraId="4EDB45EF" w14:textId="03818423" w:rsidR="0089291C" w:rsidRPr="00860C2F" w:rsidRDefault="00860C2F">
      <w:pPr>
        <w:rPr>
          <w:rFonts w:ascii="Arial" w:hAnsi="Arial" w:cs="Arial"/>
          <w:szCs w:val="22"/>
        </w:rPr>
      </w:pPr>
      <w:r w:rsidRPr="00860C2F">
        <w:rPr>
          <w:rFonts w:ascii="Arial" w:hAnsi="Arial" w:cs="Arial"/>
          <w:szCs w:val="22"/>
        </w:rPr>
        <w:t>Cette fusion a été soumise au contrôle du Commissaire à la fusion, désigné par ordonnance du Président du tribunal des activités économiques d’AVIGNON, dont le rapport a été tenu à votre disposition au siège social dans les délais légaux.</w:t>
      </w:r>
    </w:p>
    <w:p w14:paraId="4D16D0B8" w14:textId="77777777" w:rsidR="0089291C" w:rsidRPr="00860C2F" w:rsidRDefault="0089291C">
      <w:pPr>
        <w:rPr>
          <w:rFonts w:ascii="Arial" w:hAnsi="Arial" w:cs="Arial"/>
          <w:szCs w:val="22"/>
          <w:highlight w:val="yellow"/>
        </w:rPr>
      </w:pPr>
    </w:p>
    <w:p w14:paraId="7F51F616" w14:textId="4DAFA36B" w:rsidR="0089291C" w:rsidRPr="00860C2F" w:rsidRDefault="00860C2F">
      <w:pPr>
        <w:rPr>
          <w:rFonts w:ascii="Arial" w:hAnsi="Arial" w:cs="Arial"/>
          <w:szCs w:val="22"/>
        </w:rPr>
      </w:pPr>
      <w:r w:rsidRPr="00860C2F">
        <w:rPr>
          <w:rFonts w:ascii="Arial" w:hAnsi="Arial" w:cs="Arial"/>
          <w:szCs w:val="22"/>
        </w:rPr>
        <w:t xml:space="preserve">Le projet de fusion, que nous soumettons à vos suffrages, a été établi par acte sous signature privée en date du </w:t>
      </w:r>
      <w:r w:rsidR="00E27745" w:rsidRPr="00E27745">
        <w:rPr>
          <w:rFonts w:ascii="Arial" w:hAnsi="Arial" w:cs="Arial"/>
          <w:szCs w:val="22"/>
        </w:rPr>
        <w:t>17</w:t>
      </w:r>
      <w:r w:rsidRPr="00E27745">
        <w:rPr>
          <w:rFonts w:ascii="Arial" w:hAnsi="Arial" w:cs="Arial"/>
          <w:szCs w:val="22"/>
        </w:rPr>
        <w:t xml:space="preserve"> novembre 2025</w:t>
      </w:r>
      <w:r w:rsidRPr="00860C2F">
        <w:rPr>
          <w:rFonts w:ascii="Arial" w:hAnsi="Arial" w:cs="Arial"/>
          <w:szCs w:val="22"/>
        </w:rPr>
        <w:t xml:space="preserve"> et a fait l'objet d'un dépôt au greffe du tribunal des activités économiques des sociétés participantes pour être annexé au registre du commerce et des sociétés et d'une insertion au Bodacc trente jours avant la date prévue pour la présente assemblée.</w:t>
      </w:r>
    </w:p>
    <w:p w14:paraId="065AA2A1" w14:textId="77777777" w:rsidR="0089291C" w:rsidRPr="00860C2F" w:rsidRDefault="0089291C">
      <w:pPr>
        <w:rPr>
          <w:rFonts w:ascii="Arial" w:hAnsi="Arial" w:cs="Arial"/>
          <w:szCs w:val="22"/>
          <w:highlight w:val="yellow"/>
        </w:rPr>
      </w:pPr>
    </w:p>
    <w:p w14:paraId="5E1DBF0C" w14:textId="74071B7A" w:rsidR="0089291C" w:rsidRPr="00860C2F" w:rsidRDefault="00860C2F">
      <w:pPr>
        <w:rPr>
          <w:rFonts w:ascii="Arial" w:hAnsi="Arial" w:cs="Arial"/>
          <w:szCs w:val="22"/>
        </w:rPr>
      </w:pPr>
      <w:r w:rsidRPr="00860C2F">
        <w:rPr>
          <w:rFonts w:ascii="Arial" w:hAnsi="Arial" w:cs="Arial"/>
          <w:szCs w:val="22"/>
        </w:rPr>
        <w:t>Nous vous demandons, comme conséquence de l'adoption de la résolution relative à l'augmentation de capital, de modifier les articles 7 et 8 des statuts relatifs aux apports et au capital social.</w:t>
      </w:r>
    </w:p>
    <w:p w14:paraId="363710EB" w14:textId="77777777" w:rsidR="0089291C" w:rsidRPr="00860C2F" w:rsidRDefault="0089291C">
      <w:pPr>
        <w:rPr>
          <w:rFonts w:ascii="Arial" w:hAnsi="Arial" w:cs="Arial"/>
          <w:szCs w:val="22"/>
          <w:highlight w:val="yellow"/>
        </w:rPr>
      </w:pPr>
    </w:p>
    <w:p w14:paraId="379C8A71" w14:textId="39B3E428" w:rsidR="00860C2F" w:rsidRDefault="00860C2F" w:rsidP="00860C2F">
      <w:pPr>
        <w:rPr>
          <w:rFonts w:ascii="Arial" w:hAnsi="Arial" w:cs="Arial"/>
          <w:szCs w:val="22"/>
        </w:rPr>
      </w:pPr>
      <w:r w:rsidRPr="00C75F5C">
        <w:rPr>
          <w:rFonts w:ascii="Arial" w:hAnsi="Arial" w:cs="Arial"/>
          <w:szCs w:val="22"/>
        </w:rPr>
        <w:t xml:space="preserve">La société BKL Group, </w:t>
      </w:r>
      <w:r>
        <w:rPr>
          <w:rFonts w:ascii="Arial" w:hAnsi="Arial" w:cs="Arial"/>
          <w:szCs w:val="22"/>
        </w:rPr>
        <w:t xml:space="preserve">société absorbée, détenant </w:t>
      </w:r>
      <w:r w:rsidRPr="00C75F5C">
        <w:rPr>
          <w:rFonts w:ascii="Arial" w:hAnsi="Arial" w:cs="Arial"/>
          <w:szCs w:val="22"/>
        </w:rPr>
        <w:t>471 956 </w:t>
      </w:r>
      <w:r>
        <w:rPr>
          <w:rFonts w:ascii="Arial" w:hAnsi="Arial" w:cs="Arial"/>
          <w:szCs w:val="22"/>
        </w:rPr>
        <w:t>action</w:t>
      </w:r>
      <w:r w:rsidRPr="00C75F5C">
        <w:rPr>
          <w:rFonts w:ascii="Arial" w:hAnsi="Arial" w:cs="Arial"/>
          <w:szCs w:val="22"/>
        </w:rPr>
        <w:t xml:space="preserve">s de la société </w:t>
      </w:r>
      <w:r>
        <w:rPr>
          <w:rFonts w:ascii="Arial" w:hAnsi="Arial" w:cs="Arial"/>
          <w:szCs w:val="22"/>
        </w:rPr>
        <w:t>GALEO CONCEPT, société absorbante,</w:t>
      </w:r>
      <w:r w:rsidRPr="00C75F5C">
        <w:rPr>
          <w:rFonts w:ascii="Arial" w:hAnsi="Arial" w:cs="Arial"/>
          <w:szCs w:val="22"/>
        </w:rPr>
        <w:t xml:space="preserve"> sur les 617 722 composant le capital de cette dernièr</w:t>
      </w:r>
      <w:r>
        <w:rPr>
          <w:rFonts w:ascii="Arial" w:hAnsi="Arial" w:cs="Arial"/>
          <w:szCs w:val="22"/>
        </w:rPr>
        <w:t>e, et p</w:t>
      </w:r>
      <w:r w:rsidRPr="00371672">
        <w:rPr>
          <w:rFonts w:ascii="Arial" w:hAnsi="Arial" w:cs="Arial"/>
          <w:szCs w:val="22"/>
        </w:rPr>
        <w:t xml:space="preserve">our ne pas détenir ses propres actions, </w:t>
      </w:r>
      <w:r>
        <w:rPr>
          <w:rFonts w:ascii="Arial" w:hAnsi="Arial" w:cs="Arial"/>
          <w:szCs w:val="22"/>
        </w:rPr>
        <w:t xml:space="preserve">nous vous proposons de réduire le capital social de </w:t>
      </w:r>
      <w:r w:rsidRPr="00371672">
        <w:rPr>
          <w:rFonts w:ascii="Arial" w:hAnsi="Arial" w:cs="Arial"/>
          <w:szCs w:val="22"/>
        </w:rPr>
        <w:t>la société GALEO CONCEPT due concurrence</w:t>
      </w:r>
      <w:r>
        <w:rPr>
          <w:rFonts w:ascii="Arial" w:hAnsi="Arial" w:cs="Arial"/>
          <w:szCs w:val="22"/>
        </w:rPr>
        <w:t xml:space="preserve">, soit d’un montant </w:t>
      </w:r>
      <w:r w:rsidRPr="00DA78B0">
        <w:rPr>
          <w:rFonts w:ascii="Arial" w:hAnsi="Arial" w:cs="Arial"/>
          <w:szCs w:val="22"/>
        </w:rPr>
        <w:t>de </w:t>
      </w:r>
      <w:r w:rsidRPr="002D2730">
        <w:rPr>
          <w:rFonts w:ascii="Arial" w:hAnsi="Arial" w:cs="Arial"/>
          <w:szCs w:val="22"/>
        </w:rPr>
        <w:t>235 978 euros</w:t>
      </w:r>
      <w:r>
        <w:rPr>
          <w:rFonts w:ascii="Arial" w:hAnsi="Arial" w:cs="Arial"/>
          <w:szCs w:val="22"/>
        </w:rPr>
        <w:t>.</w:t>
      </w:r>
    </w:p>
    <w:p w14:paraId="043F40F4" w14:textId="64AB25CC" w:rsidR="00860C2F" w:rsidRPr="00860C2F" w:rsidRDefault="00860C2F" w:rsidP="00860C2F">
      <w:pPr>
        <w:rPr>
          <w:rFonts w:ascii="Arial" w:hAnsi="Arial" w:cs="Arial"/>
          <w:szCs w:val="22"/>
        </w:rPr>
      </w:pPr>
      <w:r w:rsidRPr="00860C2F">
        <w:rPr>
          <w:rFonts w:ascii="Arial" w:hAnsi="Arial" w:cs="Arial"/>
          <w:szCs w:val="22"/>
        </w:rPr>
        <w:t xml:space="preserve">Nous vous demandons, comme conséquence de l'adoption de la résolution relative à </w:t>
      </w:r>
      <w:r>
        <w:rPr>
          <w:rFonts w:ascii="Arial" w:hAnsi="Arial" w:cs="Arial"/>
          <w:szCs w:val="22"/>
        </w:rPr>
        <w:t>la réduction de capital</w:t>
      </w:r>
      <w:r w:rsidRPr="00860C2F">
        <w:rPr>
          <w:rFonts w:ascii="Arial" w:hAnsi="Arial" w:cs="Arial"/>
          <w:szCs w:val="22"/>
        </w:rPr>
        <w:t>, de modifier les articles 7 et 8 des statuts relatifs aux apports et au capital social.</w:t>
      </w:r>
    </w:p>
    <w:p w14:paraId="18B115D8" w14:textId="09AB70DD" w:rsidR="00860C2F" w:rsidRDefault="00860C2F">
      <w:pPr>
        <w:jc w:val="left"/>
        <w:rPr>
          <w:rFonts w:ascii="Arial" w:hAnsi="Arial" w:cs="Arial"/>
          <w:szCs w:val="22"/>
        </w:rPr>
      </w:pPr>
    </w:p>
    <w:p w14:paraId="3EC08E82" w14:textId="77777777" w:rsidR="00860C2F" w:rsidRDefault="00860C2F">
      <w:pPr>
        <w:jc w:val="left"/>
        <w:rPr>
          <w:rFonts w:ascii="Arial" w:hAnsi="Arial" w:cs="Arial"/>
          <w:szCs w:val="22"/>
        </w:rPr>
      </w:pPr>
      <w:r>
        <w:rPr>
          <w:rFonts w:ascii="Arial" w:hAnsi="Arial" w:cs="Arial"/>
          <w:szCs w:val="22"/>
        </w:rPr>
        <w:br w:type="page"/>
      </w:r>
    </w:p>
    <w:p w14:paraId="7990CDE0" w14:textId="27FA0C8F" w:rsidR="0089291C" w:rsidRPr="00860C2F" w:rsidRDefault="00860C2F">
      <w:pPr>
        <w:rPr>
          <w:rFonts w:ascii="Arial" w:hAnsi="Arial" w:cs="Arial"/>
          <w:szCs w:val="22"/>
        </w:rPr>
      </w:pPr>
      <w:r w:rsidRPr="00860C2F">
        <w:rPr>
          <w:rFonts w:ascii="Arial" w:hAnsi="Arial" w:cs="Arial"/>
          <w:szCs w:val="22"/>
        </w:rPr>
        <w:lastRenderedPageBreak/>
        <w:t>Nous vous précisons enfin que la fusion sera :</w:t>
      </w:r>
    </w:p>
    <w:p w14:paraId="433707A8" w14:textId="77777777" w:rsidR="0089291C" w:rsidRPr="00860C2F" w:rsidRDefault="00860C2F">
      <w:pPr>
        <w:rPr>
          <w:rFonts w:ascii="Arial" w:hAnsi="Arial" w:cs="Arial"/>
          <w:szCs w:val="22"/>
        </w:rPr>
      </w:pPr>
      <w:r w:rsidRPr="00860C2F">
        <w:rPr>
          <w:rFonts w:ascii="Arial" w:hAnsi="Arial" w:cs="Arial"/>
          <w:szCs w:val="22"/>
        </w:rPr>
        <w:t> </w:t>
      </w:r>
    </w:p>
    <w:p w14:paraId="312D867B" w14:textId="77777777" w:rsidR="0089291C" w:rsidRPr="00860C2F" w:rsidRDefault="00860C2F">
      <w:pPr>
        <w:rPr>
          <w:rFonts w:ascii="Arial" w:hAnsi="Arial" w:cs="Arial"/>
          <w:szCs w:val="22"/>
        </w:rPr>
      </w:pPr>
      <w:r w:rsidRPr="00860C2F">
        <w:rPr>
          <w:rFonts w:ascii="Arial" w:hAnsi="Arial" w:cs="Arial"/>
          <w:szCs w:val="22"/>
        </w:rPr>
        <w:t>- soumise au régime fiscal spécial prévu à l'article 816 du Code général des impôts, en matière de droits d'enregistrement,</w:t>
      </w:r>
    </w:p>
    <w:p w14:paraId="3A8CFD57" w14:textId="77777777" w:rsidR="0089291C" w:rsidRPr="00860C2F" w:rsidRDefault="0089291C">
      <w:pPr>
        <w:rPr>
          <w:rFonts w:ascii="Arial" w:hAnsi="Arial" w:cs="Arial"/>
          <w:szCs w:val="22"/>
        </w:rPr>
      </w:pPr>
    </w:p>
    <w:p w14:paraId="4DDFD895" w14:textId="77777777" w:rsidR="0089291C" w:rsidRPr="00860C2F" w:rsidRDefault="00860C2F">
      <w:pPr>
        <w:rPr>
          <w:rFonts w:ascii="Arial" w:hAnsi="Arial" w:cs="Arial"/>
          <w:szCs w:val="22"/>
        </w:rPr>
      </w:pPr>
      <w:r w:rsidRPr="00860C2F">
        <w:rPr>
          <w:rFonts w:ascii="Arial" w:hAnsi="Arial" w:cs="Arial"/>
          <w:szCs w:val="22"/>
        </w:rPr>
        <w:t>- soumise au régime fiscal de faveur des fusions prévu par les articles 210 A et suivants du Code général des impôts en matière d'impôts directs.</w:t>
      </w:r>
    </w:p>
    <w:p w14:paraId="1F84AE23" w14:textId="77777777" w:rsidR="0089291C" w:rsidRPr="00860C2F" w:rsidRDefault="0089291C">
      <w:pPr>
        <w:rPr>
          <w:rFonts w:ascii="Arial" w:hAnsi="Arial" w:cs="Arial"/>
          <w:szCs w:val="22"/>
          <w:highlight w:val="yellow"/>
        </w:rPr>
      </w:pPr>
    </w:p>
    <w:p w14:paraId="40193EAB" w14:textId="77777777" w:rsidR="0089291C" w:rsidRPr="00860C2F" w:rsidRDefault="00860C2F">
      <w:pPr>
        <w:rPr>
          <w:rFonts w:ascii="Arial" w:hAnsi="Arial" w:cs="Arial"/>
          <w:szCs w:val="22"/>
        </w:rPr>
      </w:pPr>
      <w:r w:rsidRPr="00860C2F">
        <w:rPr>
          <w:rFonts w:ascii="Arial" w:hAnsi="Arial" w:cs="Arial"/>
          <w:szCs w:val="22"/>
        </w:rPr>
        <w:t>Elle ne sera définitivement réalisée qu'à l'issue de l'Assemblée Générale Extraordinaire de la société BKL Group approuvant la fusion et décidant la dissolution sans liquidation de la société absorbée.</w:t>
      </w:r>
    </w:p>
    <w:p w14:paraId="23860AAD" w14:textId="77777777" w:rsidR="0089291C" w:rsidRPr="00860C2F" w:rsidRDefault="0089291C">
      <w:pPr>
        <w:rPr>
          <w:rFonts w:ascii="Arial" w:hAnsi="Arial" w:cs="Arial"/>
          <w:szCs w:val="22"/>
          <w:highlight w:val="yellow"/>
        </w:rPr>
      </w:pPr>
    </w:p>
    <w:p w14:paraId="68545F8B" w14:textId="76E7AD83" w:rsidR="0089291C" w:rsidRPr="00860C2F" w:rsidRDefault="00860C2F">
      <w:pPr>
        <w:rPr>
          <w:rFonts w:ascii="Arial" w:hAnsi="Arial" w:cs="Arial"/>
          <w:szCs w:val="22"/>
        </w:rPr>
      </w:pPr>
      <w:r w:rsidRPr="00860C2F">
        <w:rPr>
          <w:rFonts w:ascii="Arial" w:hAnsi="Arial" w:cs="Arial"/>
          <w:szCs w:val="22"/>
        </w:rPr>
        <w:t>Nous allons maintenant vous donner lecture du rapport établi par le Commissaire à la fusion.</w:t>
      </w:r>
    </w:p>
    <w:p w14:paraId="07E24964" w14:textId="77777777" w:rsidR="0089291C" w:rsidRPr="00860C2F" w:rsidRDefault="0089291C">
      <w:pPr>
        <w:rPr>
          <w:rFonts w:ascii="Arial" w:hAnsi="Arial" w:cs="Arial"/>
          <w:szCs w:val="22"/>
          <w:highlight w:val="yellow"/>
        </w:rPr>
      </w:pPr>
    </w:p>
    <w:p w14:paraId="0F263867" w14:textId="77777777" w:rsidR="0089291C" w:rsidRPr="00860C2F" w:rsidRDefault="00860C2F">
      <w:pPr>
        <w:rPr>
          <w:rFonts w:ascii="Arial" w:hAnsi="Arial" w:cs="Arial"/>
          <w:szCs w:val="22"/>
        </w:rPr>
      </w:pPr>
      <w:r w:rsidRPr="00860C2F">
        <w:rPr>
          <w:rFonts w:ascii="Arial" w:hAnsi="Arial" w:cs="Arial"/>
          <w:szCs w:val="22"/>
        </w:rPr>
        <w:t>Nous sommes à votre disposition pour répondre à vos questions.</w:t>
      </w:r>
    </w:p>
    <w:p w14:paraId="484E8E4D" w14:textId="77777777" w:rsidR="0089291C" w:rsidRPr="00860C2F" w:rsidRDefault="0089291C">
      <w:pPr>
        <w:rPr>
          <w:rFonts w:ascii="Arial" w:hAnsi="Arial" w:cs="Arial"/>
          <w:szCs w:val="22"/>
        </w:rPr>
      </w:pPr>
    </w:p>
    <w:p w14:paraId="08B5F35F" w14:textId="3A3DE048" w:rsidR="0089291C" w:rsidRPr="00860C2F" w:rsidRDefault="00860C2F">
      <w:pPr>
        <w:rPr>
          <w:rFonts w:ascii="Arial" w:hAnsi="Arial" w:cs="Arial"/>
          <w:szCs w:val="22"/>
        </w:rPr>
      </w:pPr>
      <w:r w:rsidRPr="00860C2F">
        <w:rPr>
          <w:rFonts w:ascii="Arial" w:hAnsi="Arial" w:cs="Arial"/>
          <w:szCs w:val="22"/>
        </w:rPr>
        <w:t>Nous espérons que c</w:t>
      </w:r>
      <w:r>
        <w:rPr>
          <w:rFonts w:ascii="Arial" w:hAnsi="Arial" w:cs="Arial"/>
          <w:szCs w:val="22"/>
        </w:rPr>
        <w:t>es</w:t>
      </w:r>
      <w:r w:rsidRPr="00860C2F">
        <w:rPr>
          <w:rFonts w:ascii="Arial" w:hAnsi="Arial" w:cs="Arial"/>
          <w:szCs w:val="22"/>
        </w:rPr>
        <w:t xml:space="preserve"> opération</w:t>
      </w:r>
      <w:r>
        <w:rPr>
          <w:rFonts w:ascii="Arial" w:hAnsi="Arial" w:cs="Arial"/>
          <w:szCs w:val="22"/>
        </w:rPr>
        <w:t>s</w:t>
      </w:r>
      <w:r w:rsidRPr="00860C2F">
        <w:rPr>
          <w:rFonts w:ascii="Arial" w:hAnsi="Arial" w:cs="Arial"/>
          <w:szCs w:val="22"/>
        </w:rPr>
        <w:t xml:space="preserve"> recevr</w:t>
      </w:r>
      <w:r>
        <w:rPr>
          <w:rFonts w:ascii="Arial" w:hAnsi="Arial" w:cs="Arial"/>
          <w:szCs w:val="22"/>
        </w:rPr>
        <w:t>ont</w:t>
      </w:r>
      <w:r w:rsidRPr="00860C2F">
        <w:rPr>
          <w:rFonts w:ascii="Arial" w:hAnsi="Arial" w:cs="Arial"/>
          <w:szCs w:val="22"/>
        </w:rPr>
        <w:t xml:space="preserve"> votre agrément et nous vous invitons à voter les résolutions qui vous seront présentées.</w:t>
      </w:r>
    </w:p>
    <w:p w14:paraId="47463D5B" w14:textId="77777777" w:rsidR="0089291C" w:rsidRPr="00860C2F" w:rsidRDefault="0089291C">
      <w:pPr>
        <w:rPr>
          <w:rFonts w:ascii="Arial" w:hAnsi="Arial" w:cs="Arial"/>
          <w:szCs w:val="22"/>
          <w:highlight w:val="yellow"/>
        </w:rPr>
      </w:pPr>
    </w:p>
    <w:p w14:paraId="6CACAE96" w14:textId="77777777" w:rsidR="0089291C" w:rsidRPr="00860C2F" w:rsidRDefault="0089291C">
      <w:pPr>
        <w:rPr>
          <w:rFonts w:ascii="Arial" w:hAnsi="Arial" w:cs="Arial"/>
          <w:szCs w:val="22"/>
          <w:highlight w:val="yellow"/>
        </w:rPr>
      </w:pPr>
    </w:p>
    <w:p w14:paraId="6832A42A" w14:textId="77777777" w:rsidR="0089291C" w:rsidRPr="00860C2F" w:rsidRDefault="00860C2F">
      <w:pPr>
        <w:pStyle w:val="RASignature"/>
        <w:rPr>
          <w:rFonts w:ascii="Arial" w:hAnsi="Arial" w:cs="Arial"/>
          <w:b/>
          <w:bCs/>
          <w:szCs w:val="22"/>
        </w:rPr>
      </w:pPr>
      <w:r w:rsidRPr="00860C2F">
        <w:rPr>
          <w:rFonts w:ascii="Arial" w:hAnsi="Arial" w:cs="Arial"/>
          <w:b/>
          <w:bCs/>
          <w:szCs w:val="22"/>
        </w:rPr>
        <w:t>Le Conseil d'Administration</w:t>
      </w:r>
    </w:p>
    <w:p w14:paraId="79D0CAED" w14:textId="77777777" w:rsidR="0089291C" w:rsidRPr="00860C2F" w:rsidRDefault="0089291C">
      <w:pPr>
        <w:rPr>
          <w:rFonts w:ascii="Arial" w:hAnsi="Arial" w:cs="Arial"/>
          <w:szCs w:val="22"/>
        </w:rPr>
      </w:pPr>
    </w:p>
    <w:sectPr w:rsidR="0089291C" w:rsidRPr="00860C2F">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BA">
      <wne:macro wne:macroName="TEMPLATEPROJECT.NEWMACROS.POINTSTOP"/>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AB4F" w14:textId="77777777" w:rsidR="00921CAD" w:rsidRDefault="00921CAD">
      <w:r>
        <w:separator/>
      </w:r>
    </w:p>
  </w:endnote>
  <w:endnote w:type="continuationSeparator" w:id="0">
    <w:p w14:paraId="55C3AB50" w14:textId="77777777" w:rsidR="00921CAD" w:rsidRDefault="0092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AB53" w14:textId="77777777" w:rsidR="009D4D61" w:rsidRDefault="009D4D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AB54" w14:textId="77777777" w:rsidR="009D4D61" w:rsidRDefault="009D4D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AB56" w14:textId="77777777" w:rsidR="009D4D61" w:rsidRDefault="009D4D61">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AB4D" w14:textId="77777777" w:rsidR="00921CAD" w:rsidRDefault="00921CAD">
      <w:r>
        <w:separator/>
      </w:r>
    </w:p>
  </w:footnote>
  <w:footnote w:type="continuationSeparator" w:id="0">
    <w:p w14:paraId="55C3AB4E" w14:textId="77777777" w:rsidR="00921CAD" w:rsidRDefault="0092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AB51" w14:textId="77777777" w:rsidR="009D4D61" w:rsidRDefault="009D4D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AB52" w14:textId="77777777" w:rsidR="009D4D61" w:rsidRDefault="009D4D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AB55" w14:textId="77777777" w:rsidR="009D4D61" w:rsidRDefault="009D4D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74"/>
    <w:rsid w:val="00180CAF"/>
    <w:rsid w:val="001A37D2"/>
    <w:rsid w:val="002922EA"/>
    <w:rsid w:val="00312EDD"/>
    <w:rsid w:val="003F2649"/>
    <w:rsid w:val="00472BE3"/>
    <w:rsid w:val="0051000C"/>
    <w:rsid w:val="0059401E"/>
    <w:rsid w:val="005F3F0C"/>
    <w:rsid w:val="00603DB5"/>
    <w:rsid w:val="00635974"/>
    <w:rsid w:val="006F075A"/>
    <w:rsid w:val="00726025"/>
    <w:rsid w:val="0075377D"/>
    <w:rsid w:val="00787664"/>
    <w:rsid w:val="00860C2F"/>
    <w:rsid w:val="00874E3E"/>
    <w:rsid w:val="00875C3B"/>
    <w:rsid w:val="0089291C"/>
    <w:rsid w:val="00921CAD"/>
    <w:rsid w:val="009D4D61"/>
    <w:rsid w:val="00A15381"/>
    <w:rsid w:val="00A712C2"/>
    <w:rsid w:val="00CB57FF"/>
    <w:rsid w:val="00CB76C3"/>
    <w:rsid w:val="00E27745"/>
    <w:rsid w:val="00EA76C2"/>
    <w:rsid w:val="00ED6396"/>
    <w:rsid w:val="00FA2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5C3AB4C"/>
  <w15:docId w15:val="{8F5AC53E-BB8C-494E-9F00-871D7DCE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7FF"/>
    <w:pPr>
      <w:jc w:val="both"/>
    </w:pPr>
    <w:rPr>
      <w:b w:val="0"/>
      <w:sz w:val="22"/>
    </w:rPr>
  </w:style>
  <w:style w:type="paragraph" w:styleId="Titre1">
    <w:name w:val="heading 1"/>
    <w:basedOn w:val="Normal"/>
    <w:next w:val="Normal"/>
    <w:qFormat/>
    <w:pPr>
      <w:keepNext/>
      <w:ind w:left="5387"/>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RAadres">
    <w:name w:val="RA_adres"/>
    <w:basedOn w:val="Normal"/>
    <w:next w:val="Normal"/>
    <w:pPr>
      <w:ind w:left="5103"/>
    </w:pPr>
  </w:style>
  <w:style w:type="paragraph" w:customStyle="1" w:styleId="RAdestinataire">
    <w:name w:val="RA_destinataire"/>
    <w:basedOn w:val="Normal"/>
    <w:pPr>
      <w:ind w:left="5103"/>
    </w:pPr>
    <w:rPr>
      <w:b/>
    </w:rPr>
  </w:style>
  <w:style w:type="paragraph" w:customStyle="1" w:styleId="RADateCourrier">
    <w:name w:val="RA_DateCourrier"/>
    <w:basedOn w:val="Normal"/>
    <w:next w:val="Normal"/>
    <w:pPr>
      <w:ind w:left="5103"/>
    </w:pPr>
  </w:style>
  <w:style w:type="paragraph" w:customStyle="1" w:styleId="RAFormuledIntroduction">
    <w:name w:val="RA_Formuled'Introduction"/>
    <w:basedOn w:val="Normal"/>
    <w:next w:val="Normal"/>
  </w:style>
  <w:style w:type="paragraph" w:customStyle="1" w:styleId="RAFormulePolitesse">
    <w:name w:val="RA_FormulePolitesse"/>
    <w:basedOn w:val="Normal"/>
    <w:next w:val="Normal"/>
  </w:style>
  <w:style w:type="paragraph" w:customStyle="1" w:styleId="RANosRfrences">
    <w:name w:val="RA_NosRéférences"/>
    <w:basedOn w:val="Normal"/>
    <w:next w:val="Normal"/>
    <w:rPr>
      <w:b/>
      <w:i/>
    </w:rPr>
  </w:style>
  <w:style w:type="paragraph" w:customStyle="1" w:styleId="RASignature">
    <w:name w:val="RA_Signature"/>
    <w:basedOn w:val="Normal"/>
    <w:next w:val="Normal"/>
    <w:pPr>
      <w:ind w:left="5103"/>
    </w:pPr>
  </w:style>
  <w:style w:type="paragraph" w:customStyle="1" w:styleId="RATitreActe">
    <w:name w:val="RA_Titre_Acte"/>
    <w:basedOn w:val="Normal"/>
    <w:next w:val="Normal"/>
    <w:pPr>
      <w:jc w:val="center"/>
    </w:pPr>
    <w:rPr>
      <w:b/>
    </w:rPr>
  </w:style>
  <w:style w:type="paragraph" w:customStyle="1" w:styleId="RAVosRfrences">
    <w:name w:val="RA_VosRéférences"/>
    <w:basedOn w:val="Normal"/>
    <w:next w:val="Normal"/>
  </w:style>
  <w:style w:type="paragraph" w:customStyle="1" w:styleId="RACitationArticles">
    <w:name w:val="RA_Citation_Articles"/>
    <w:basedOn w:val="Normal"/>
    <w:next w:val="Normal"/>
    <w:rPr>
      <w:i/>
      <w:sz w:val="16"/>
    </w:rPr>
  </w:style>
  <w:style w:type="paragraph" w:customStyle="1" w:styleId="RAEnMajuscules">
    <w:name w:val="RA_En_Majuscules"/>
    <w:basedOn w:val="Normal"/>
    <w:next w:val="Normal"/>
    <w:rPr>
      <w:caps/>
    </w:rPr>
  </w:style>
  <w:style w:type="paragraph" w:customStyle="1" w:styleId="Stylegras">
    <w:name w:val="Style gras"/>
    <w:basedOn w:val="Normal"/>
    <w:rPr>
      <w:b/>
    </w:rPr>
  </w:style>
  <w:style w:type="paragraph" w:customStyle="1" w:styleId="RAinitiales">
    <w:name w:val="RA_initiales"/>
    <w:basedOn w:val="Normal"/>
    <w:next w:val="Normal"/>
  </w:style>
  <w:style w:type="paragraph" w:customStyle="1" w:styleId="RAMontantMiseprix">
    <w:name w:val="RA_Montant_Miseàprix"/>
    <w:basedOn w:val="Normal"/>
    <w:next w:val="Normal"/>
    <w:rPr>
      <w:b/>
    </w:rPr>
  </w:style>
  <w:style w:type="paragraph" w:customStyle="1" w:styleId="RARfrencesdudossier">
    <w:name w:val="RA_Références du dossier"/>
    <w:basedOn w:val="Normal"/>
    <w:next w:val="Normal"/>
    <w:rPr>
      <w:b/>
      <w:i/>
    </w:rPr>
  </w:style>
  <w:style w:type="paragraph" w:customStyle="1" w:styleId="RATamponduCabinet">
    <w:name w:val="RA_Tampon du Cabinet"/>
    <w:basedOn w:val="Normal"/>
    <w:next w:val="Normal"/>
  </w:style>
  <w:style w:type="paragraph" w:customStyle="1" w:styleId="RATitreFormule">
    <w:name w:val="RA_Titre_Formule"/>
    <w:basedOn w:val="Normal"/>
    <w:next w:val="Normal"/>
    <w:rPr>
      <w:b/>
      <w:u w:val="single"/>
    </w:rPr>
  </w:style>
  <w:style w:type="paragraph" w:customStyle="1" w:styleId="Article">
    <w:name w:val="Article"/>
    <w:basedOn w:val="Normal"/>
    <w:next w:val="Normal"/>
    <w:rPr>
      <w:b/>
    </w:rPr>
  </w:style>
  <w:style w:type="paragraph" w:customStyle="1" w:styleId="RAEntteTribunal">
    <w:name w:val="RA_EntêteTribunal"/>
    <w:basedOn w:val="Normal"/>
    <w:next w:val="Normal"/>
    <w:pPr>
      <w:jc w:val="center"/>
    </w:pPr>
    <w:rPr>
      <w:b/>
    </w:rPr>
  </w:style>
  <w:style w:type="paragraph" w:customStyle="1" w:styleId="RARsolution">
    <w:name w:val="RA_Résolution"/>
    <w:basedOn w:val="Normal"/>
    <w:next w:val="Normal"/>
    <w:rPr>
      <w:b/>
    </w:rPr>
  </w:style>
  <w:style w:type="paragraph" w:customStyle="1" w:styleId="RATitrePolyActe">
    <w:name w:val="RA_Titre_PolyActe"/>
    <w:basedOn w:val="Normal"/>
    <w:pPr>
      <w:jc w:val="center"/>
    </w:pPr>
    <w:rPr>
      <w:b/>
      <w:sz w:val="28"/>
    </w:rPr>
  </w:style>
  <w:style w:type="paragraph" w:customStyle="1" w:styleId="Stylegrascentr">
    <w:name w:val="Style gras centré"/>
    <w:basedOn w:val="Normal"/>
    <w:next w:val="Normal"/>
    <w:pPr>
      <w:jc w:val="center"/>
    </w:pPr>
    <w:rPr>
      <w:b/>
    </w:rPr>
  </w:style>
  <w:style w:type="paragraph" w:customStyle="1" w:styleId="RASignataire2">
    <w:name w:val="RA_Signataire_2"/>
    <w:basedOn w:val="Normal"/>
    <w:pPr>
      <w:tabs>
        <w:tab w:val="right" w:pos="8959"/>
      </w:tabs>
    </w:pPr>
  </w:style>
  <w:style w:type="paragraph" w:customStyle="1" w:styleId="RASignataire3">
    <w:name w:val="RA_Signataire_3"/>
    <w:basedOn w:val="Normal"/>
    <w:pPr>
      <w:tabs>
        <w:tab w:val="center" w:pos="4536"/>
        <w:tab w:val="right" w:pos="8959"/>
      </w:tabs>
    </w:pPr>
  </w:style>
  <w:style w:type="paragraph" w:customStyle="1" w:styleId="RaTableau2Col">
    <w:name w:val="Ra_Tableau_2Col"/>
    <w:basedOn w:val="Normal"/>
    <w:pPr>
      <w:tabs>
        <w:tab w:val="right" w:leader="dot" w:pos="8505"/>
      </w:tabs>
    </w:pPr>
  </w:style>
  <w:style w:type="paragraph" w:customStyle="1" w:styleId="Sautsectionavecsautdepage">
    <w:name w:val="Saut section avec saut de page"/>
    <w:basedOn w:val="Normal"/>
    <w:next w:val="Normal"/>
  </w:style>
  <w:style w:type="paragraph" w:customStyle="1" w:styleId="RAPADestinataire">
    <w:name w:val="RA_PA_Destinataire"/>
    <w:basedOn w:val="Normal"/>
    <w:pPr>
      <w:ind w:left="5103"/>
    </w:pPr>
  </w:style>
  <w:style w:type="paragraph" w:customStyle="1" w:styleId="RAEnteteSociete">
    <w:name w:val="RA_Entete_Societe"/>
    <w:basedOn w:val="Normal"/>
    <w:pPr>
      <w:jc w:val="center"/>
    </w:pPr>
    <w:rPr>
      <w:b/>
      <w:sz w:val="28"/>
    </w:rPr>
  </w:style>
  <w:style w:type="paragraph" w:customStyle="1" w:styleId="Grassoulign">
    <w:name w:val="Gras souligné"/>
    <w:basedOn w:val="Normal"/>
    <w:next w:val="Normal"/>
    <w:rPr>
      <w:b/>
      <w:u w:val="single"/>
    </w:rPr>
  </w:style>
  <w:style w:type="paragraph" w:customStyle="1" w:styleId="RAArticles">
    <w:name w:val="RA_Articles"/>
    <w:basedOn w:val="Normal"/>
    <w:rPr>
      <w:u w:val="single"/>
    </w:rPr>
  </w:style>
  <w:style w:type="paragraph" w:customStyle="1" w:styleId="RAGrascentrsoulign">
    <w:name w:val="RA_Gras_centré_souligné"/>
    <w:basedOn w:val="Normal"/>
    <w:pPr>
      <w:jc w:val="center"/>
    </w:pPr>
    <w:rPr>
      <w:b/>
      <w:u w:val="single"/>
    </w:rPr>
  </w:style>
  <w:style w:type="paragraph" w:customStyle="1" w:styleId="Soulign">
    <w:name w:val="Souligné"/>
    <w:basedOn w:val="Normal"/>
    <w:next w:val="Normal"/>
    <w:rPr>
      <w:u w:val="single"/>
    </w:rPr>
  </w:style>
  <w:style w:type="paragraph" w:customStyle="1" w:styleId="RASignataire4">
    <w:name w:val="RA_Signataire_4"/>
    <w:basedOn w:val="Normal"/>
    <w:qFormat/>
    <w:rsid w:val="00584D63"/>
    <w:pPr>
      <w:tabs>
        <w:tab w:val="left" w:pos="2268"/>
        <w:tab w:val="left" w:pos="4536"/>
        <w:tab w:val="left" w:pos="6804"/>
      </w:tabs>
    </w:pPr>
  </w:style>
  <w:style w:type="character" w:customStyle="1" w:styleId="NotedebasdepageCar">
    <w:name w:val="Note de bas de page Car"/>
    <w:basedOn w:val="Policepardfaut"/>
    <w:link w:val="Notedebasdepage"/>
    <w:uiPriority w:val="99"/>
    <w:rsid w:val="0048624B"/>
    <w:rPr>
      <w:rFonts w:asciiTheme="minorHAnsi" w:eastAsiaTheme="minorEastAsia" w:hAnsiTheme="minorHAnsi"/>
    </w:rPr>
  </w:style>
  <w:style w:type="character" w:styleId="Accentuationlgre">
    <w:name w:val="Subtle Emphasis"/>
    <w:basedOn w:val="Policepardfaut"/>
    <w:uiPriority w:val="19"/>
    <w:qFormat/>
    <w:rsid w:val="0048624B"/>
    <w:rPr>
      <w:i/>
      <w:iCs/>
    </w:rPr>
  </w:style>
  <w:style w:type="paragraph" w:customStyle="1" w:styleId="RACotavocat">
    <w:name w:val="RA_Coût avocat"/>
    <w:basedOn w:val="Normal"/>
    <w:next w:val="Normal"/>
    <w:pPr>
      <w:ind w:left="-567"/>
    </w:pPr>
  </w:style>
  <w:style w:type="paragraph" w:customStyle="1" w:styleId="DecimalAligned">
    <w:name w:val="Decimal Aligned"/>
    <w:basedOn w:val="Normal"/>
    <w:uiPriority w:val="40"/>
    <w:qFormat/>
    <w:rsid w:val="0048624B"/>
    <w:pPr>
      <w:tabs>
        <w:tab w:val="decimal" w:pos="360"/>
      </w:tabs>
      <w:spacing w:after="200" w:line="276" w:lineRule="auto"/>
      <w:jc w:val="left"/>
    </w:pPr>
    <w:rPr>
      <w:rFonts w:asciiTheme="minorHAnsi" w:eastAsiaTheme="minorEastAsia" w:hAnsiTheme="minorHAnsi"/>
      <w:szCs w:val="22"/>
    </w:rPr>
  </w:style>
  <w:style w:type="paragraph" w:styleId="Notedebasdepage">
    <w:name w:val="footnote text"/>
    <w:basedOn w:val="Normal"/>
    <w:link w:val="NotedebasdepageCar"/>
    <w:uiPriority w:val="99"/>
    <w:unhideWhenUsed/>
    <w:rsid w:val="0048624B"/>
    <w:pPr>
      <w:jc w:val="left"/>
    </w:pPr>
    <w:rPr>
      <w:rFonts w:asciiTheme="minorHAnsi" w:eastAsiaTheme="minorEastAsia" w:hAnsiTheme="minorHAnsi"/>
      <w:sz w:val="20"/>
    </w:rPr>
  </w:style>
  <w:style w:type="paragraph" w:customStyle="1" w:styleId="TitrePolyActegrascentr">
    <w:name w:val="Titre_PolyActe_gras_centré"/>
    <w:basedOn w:val="RATitrePolyActe"/>
    <w:qFormat/>
    <w:rsid w:val="00EB21A6"/>
  </w:style>
  <w:style w:type="paragraph" w:customStyle="1" w:styleId="TitreFormulegrassoulignjustifi">
    <w:name w:val="Titre_Formule_gras_souligné_justifié"/>
    <w:basedOn w:val="RATitreFormule"/>
    <w:qFormat/>
    <w:rsid w:val="00EB21A6"/>
  </w:style>
  <w:style w:type="paragraph" w:customStyle="1" w:styleId="TitreActegrassouligncentr">
    <w:name w:val="Titre_Acte_gras_souligné_centré"/>
    <w:basedOn w:val="RATitreActe"/>
    <w:qFormat/>
    <w:rsid w:val="00EB21A6"/>
  </w:style>
  <w:style w:type="paragraph" w:customStyle="1" w:styleId="TitreActegrascentr">
    <w:name w:val="Titre_Acte_gras_centré"/>
    <w:basedOn w:val="RATitreActe"/>
    <w:qFormat/>
    <w:rsid w:val="00487569"/>
  </w:style>
  <w:style w:type="table" w:styleId="Tableaucolor1">
    <w:name w:val="Table Colorful 1"/>
    <w:basedOn w:val="TableauNormal"/>
    <w:uiPriority w:val="99"/>
    <w:semiHidden/>
    <w:unhideWhenUsed/>
    <w:rsid w:val="009318EB"/>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simple">
    <w:name w:val="Tableau simple"/>
    <w:basedOn w:val="TableauNormal"/>
    <w:uiPriority w:val="99"/>
    <w:rsid w:val="00251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rameclaire-Accent1">
    <w:name w:val="Light Shading Accent 1"/>
    <w:basedOn w:val="TableauNormal"/>
    <w:uiPriority w:val="60"/>
    <w:rsid w:val="0048624B"/>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dutableau">
    <w:name w:val="Table Grid"/>
    <w:basedOn w:val="TableauNormal"/>
    <w:uiPriority w:val="59"/>
    <w:rsid w:val="00DB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dre">
    <w:name w:val="cadre"/>
    <w:basedOn w:val="TableauNormal"/>
    <w:uiPriority w:val="99"/>
    <w:rsid w:val="00116E62"/>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table" w:customStyle="1" w:styleId="RATAbleauSignatureTR">
    <w:name w:val="RA_TAbleau_Signature_TR"/>
    <w:basedOn w:val="TableauNormal"/>
    <w:uiPriority w:val="99"/>
    <w:rsid w:val="002D63CE"/>
    <w:pPr>
      <w:spacing w:before="120" w:after="120"/>
    </w:pPr>
    <w:tblPr/>
  </w:style>
  <w:style w:type="table" w:styleId="Grilledetableauclaire">
    <w:name w:val="Grid Table Light"/>
    <w:basedOn w:val="TableauNormal"/>
    <w:uiPriority w:val="40"/>
    <w:rsid w:val="00953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ATableauSignatairesTR">
    <w:name w:val="RA_Tableau_SignatairesTR"/>
    <w:basedOn w:val="TableauNormal"/>
    <w:uiPriority w:val="99"/>
    <w:rsid w:val="00FD609F"/>
    <w:pPr>
      <w:spacing w:before="120" w:after="120"/>
    </w:pPr>
    <w:tblPr/>
  </w:style>
  <w:style w:type="table" w:customStyle="1" w:styleId="TableauTRsignataires">
    <w:name w:val="TableauTRsignataires"/>
    <w:basedOn w:val="TableauNormal"/>
    <w:uiPriority w:val="99"/>
    <w:rsid w:val="00953161"/>
    <w:pPr>
      <w:spacing w:before="240" w:after="240"/>
    </w:pPr>
    <w:tblPr/>
  </w:style>
  <w:style w:type="paragraph" w:customStyle="1" w:styleId="Style1">
    <w:name w:val="Style1"/>
    <w:basedOn w:val="Normal"/>
    <w:link w:val="Style1Car"/>
    <w:qFormat/>
    <w:rsid w:val="0051000C"/>
  </w:style>
  <w:style w:type="character" w:customStyle="1" w:styleId="Style1Car">
    <w:name w:val="Style1 Car"/>
    <w:basedOn w:val="Policepardfaut"/>
    <w:link w:val="Style1"/>
    <w:rsid w:val="0051000C"/>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1072</Words>
  <Characters>5600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Entete acte LexisActe</vt:lpstr>
    </vt:vector>
  </TitlesOfParts>
  <Company>LexisNexis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Fusion SA SARL - AGE société absorbante - Rapport du Conseil d'Administration</dc:title>
  <dc:subject/>
  <dc:creator>LexisNexis</dc:creator>
  <cp:keywords/>
  <cp:lastModifiedBy>REAL Perrine</cp:lastModifiedBy>
  <cp:revision>8</cp:revision>
  <cp:lastPrinted>2001-11-26T12:19:00Z</cp:lastPrinted>
  <dcterms:created xsi:type="dcterms:W3CDTF">2019-01-23T09:06:00Z</dcterms:created>
  <dcterms:modified xsi:type="dcterms:W3CDTF">2025-11-19T07:35:00Z</dcterms:modified>
</cp:coreProperties>
</file>